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</w:t>
      </w:r>
    </w:p>
    <w:p>
      <w:pPr>
        <w:adjustRightInd w:val="0"/>
        <w:snapToGrid w:val="0"/>
        <w:spacing w:line="580" w:lineRule="exact"/>
        <w:rPr>
          <w:rFonts w:hint="eastAsia" w:ascii="黑体" w:hAnsi="黑体" w:eastAsia="黑体" w:cs="黑体"/>
          <w:sz w:val="32"/>
          <w:szCs w:val="32"/>
          <w:highlight w:val="none"/>
        </w:rPr>
      </w:pPr>
    </w:p>
    <w:p>
      <w:pPr>
        <w:pStyle w:val="2"/>
        <w:adjustRightInd w:val="0"/>
        <w:snapToGrid w:val="0"/>
        <w:spacing w:after="0" w:line="580" w:lineRule="exact"/>
        <w:jc w:val="center"/>
        <w:rPr>
          <w:rFonts w:hint="eastAsia" w:ascii="Times New Roman" w:hAnsi="Times New Roman" w:eastAsia="方正小标宋简体" w:cs="方正小标宋简体"/>
          <w:sz w:val="36"/>
          <w:szCs w:val="36"/>
          <w:highlight w:val="none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  <w:highlight w:val="none"/>
        </w:rPr>
        <w:t>关于加强车联网（智能网联汽车）网络安全工作的通知</w:t>
      </w:r>
    </w:p>
    <w:p>
      <w:pPr>
        <w:pStyle w:val="2"/>
        <w:adjustRightInd w:val="0"/>
        <w:snapToGrid w:val="0"/>
        <w:spacing w:after="0" w:line="580" w:lineRule="exact"/>
        <w:jc w:val="center"/>
        <w:rPr>
          <w:rFonts w:hint="eastAsia"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（征求意见稿）</w:t>
      </w:r>
    </w:p>
    <w:p>
      <w:pPr>
        <w:adjustRightInd w:val="0"/>
        <w:snapToGrid w:val="0"/>
        <w:spacing w:line="580" w:lineRule="exact"/>
        <w:rPr>
          <w:rFonts w:ascii="Times New Roman" w:hAnsi="Times New Roman"/>
          <w:highlight w:val="none"/>
        </w:rPr>
      </w:pPr>
    </w:p>
    <w:p>
      <w:pPr>
        <w:pStyle w:val="2"/>
        <w:adjustRightInd w:val="0"/>
        <w:snapToGrid w:val="0"/>
        <w:spacing w:after="0" w:line="580" w:lineRule="exact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各省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自治区、直辖市工业和信息化主管部门、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通信管理局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，中国电信集团有限公司、中国移动通信集团有限公司、中国联合网络通信集团有限公司</w:t>
      </w:r>
      <w:r>
        <w:rPr>
          <w:rFonts w:ascii="Times New Roman" w:hAnsi="Times New Roman" w:eastAsia="仿宋_GB2312" w:cs="仿宋_GB2312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有关车联网运营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企业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、智能网联汽车生产企业：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为贯彻《中华人民共和国网络安全法》，落实</w:t>
      </w:r>
      <w:r>
        <w:rPr>
          <w:rFonts w:ascii="Times New Roman" w:hAnsi="Times New Roman" w:eastAsia="仿宋_GB2312"/>
          <w:sz w:val="32"/>
          <w:szCs w:val="32"/>
          <w:highlight w:val="none"/>
        </w:rPr>
        <w:t>《新能源汽车产业发展规划（2021-2035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年</w:t>
      </w:r>
      <w:r>
        <w:rPr>
          <w:rFonts w:ascii="Times New Roman" w:hAnsi="Times New Roman" w:eastAsia="仿宋_GB2312"/>
          <w:sz w:val="32"/>
          <w:szCs w:val="32"/>
          <w:highlight w:val="none"/>
        </w:rPr>
        <w:t>）》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《智能汽车创新发展战略》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《车联网（智能网联汽车）产业行动计划》，指导基础电信企业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车联网运营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企业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、智能网联汽车生产企业加强车联网（智能网联汽车）网络安全管理工作，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加快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提升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网络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安全保障能力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，促进车联网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（智能网联汽车）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产业规范健康发展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。现将有关事项通知如下。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黑体" w:cs="黑体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</w:rPr>
        <w:t>一、加强车联网网络安全防护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highlight w:val="none"/>
        </w:rPr>
        <w:t>保护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highlight w:val="none"/>
          <w:lang w:eastAsia="zh-CN"/>
        </w:rPr>
        <w:t>车联网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highlight w:val="none"/>
        </w:rPr>
        <w:t>网络设施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highlight w:val="none"/>
        </w:rPr>
        <w:t>和系统安全。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落实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企业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网络安全主体责任，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建立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车联网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网络安全管理制度和操作规程，确定网络安全负责人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定期开展符合性评测和风险评估，及时消除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网络安全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风险隐患。严格落实分级防护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要求，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加强网络设施和系统资产管理，合理划分网络安全域，加强访问控制管理，做好网络边界安全防护，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采取防范木马病毒和网络攻击、网络侵入等危害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车联网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安全行为的技术措施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highlight w:val="none"/>
        </w:rPr>
        <w:t>）保障车联网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highlight w:val="none"/>
          <w:lang w:eastAsia="zh-CN"/>
        </w:rPr>
        <w:t>通信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highlight w:val="none"/>
        </w:rPr>
        <w:t>安全。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建立企业车联网身份认证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安全信任机制，强化车与车、车与路、车与云、车与设备等场景安全通信能力建设，推动跨车型、跨设施、跨企业互联互认互通。加强商用密码应用，开展商用密码应用安全性评估。</w:t>
      </w:r>
    </w:p>
    <w:p>
      <w:pPr>
        <w:pStyle w:val="2"/>
        <w:adjustRightInd w:val="0"/>
        <w:snapToGrid w:val="0"/>
        <w:spacing w:after="0" w:line="58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highlight w:val="none"/>
        </w:rPr>
        <w:t>）开展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highlight w:val="none"/>
          <w:lang w:eastAsia="zh-CN"/>
        </w:rPr>
        <w:t>车联网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highlight w:val="none"/>
        </w:rPr>
        <w:t>安全监测预警。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建立网络安全监测预警机制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和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技术手段，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面向智能网联汽车、联网系统等，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开展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运行安全监测、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流量与行为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监测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分析，及时发现预警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安全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状态异常、恶意软件传播、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网络通信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异常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、网络攻击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等网络安全事件或异常行为，并按照规定留存相关的网络日志不少于6个月。</w:t>
      </w:r>
    </w:p>
    <w:p>
      <w:pPr>
        <w:pStyle w:val="2"/>
        <w:adjustRightInd w:val="0"/>
        <w:snapToGrid w:val="0"/>
        <w:spacing w:after="0" w:line="58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highlight w:val="none"/>
          <w:lang w:eastAsia="zh-CN"/>
        </w:rPr>
        <w:t>四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highlight w:val="none"/>
        </w:rPr>
        <w:t>）做好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highlight w:val="none"/>
          <w:lang w:eastAsia="zh-CN"/>
        </w:rPr>
        <w:t>车联网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highlight w:val="none"/>
        </w:rPr>
        <w:t>安全应急处置。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建立网络安全应急响应机制，制定网络安全事件应急预案。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定期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开展应急演练，及时处置安全威胁、网络攻击、网络侵入等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网络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安全风险。在发生危害网络安全的事件时，立即启动应急预案，采取相应的补救措施，并按照《公共互联网网络安全突发事件应急预案》向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有关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主管部门报告。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楷体_GB2312" w:cs="楷体_GB2312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highlight w:val="none"/>
        </w:rPr>
        <w:t>）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highlight w:val="none"/>
          <w:lang w:val="en-US" w:eastAsia="zh-CN"/>
        </w:rPr>
        <w:t>做好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highlight w:val="none"/>
          <w:lang w:eastAsia="zh-CN"/>
        </w:rPr>
        <w:t>车联网网络安全防护定级备案。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按照车联网网络安全防护相关标准，对所属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网络设施和系统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开展网络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安全防护定级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工作，并向省级电信主管部门备案。对新建网络设施和系统，应当在规划设计阶段确定网络安全防护等级。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各省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级电信主管部门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会同工业和信息化主管部门做好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定级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备案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审核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工作。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黑体" w:cs="黑体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</w:rPr>
        <w:t>二、加强平台安全防护</w:t>
      </w:r>
    </w:p>
    <w:p>
      <w:pPr>
        <w:pStyle w:val="2"/>
        <w:adjustRightInd w:val="0"/>
        <w:snapToGrid w:val="0"/>
        <w:spacing w:after="0" w:line="580" w:lineRule="exact"/>
        <w:ind w:firstLine="640" w:firstLineChars="200"/>
        <w:rPr>
          <w:rFonts w:hint="eastAsia" w:ascii="Times New Roman" w:hAnsi="Times New Roman" w:eastAsia="楷体_GB2312" w:cs="楷体_GB2312"/>
          <w:b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highlight w:val="none"/>
        </w:rPr>
        <w:t>（一）加强平台网络安全管理。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采取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必要的安全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技术措施，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加强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智能网联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汽车、边缘侧设备等平台接入安全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主机、数据存储系统等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平台设施安全，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以及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微服务、资源管理、应用程序编程接口（A</w:t>
      </w:r>
      <w:r>
        <w:rPr>
          <w:rFonts w:ascii="Times New Roman" w:hAnsi="Times New Roman" w:eastAsia="仿宋_GB2312"/>
          <w:sz w:val="32"/>
          <w:szCs w:val="32"/>
          <w:highlight w:val="none"/>
        </w:rPr>
        <w:t>PI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）访问等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平台应用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安全防护能力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，防范网络侵入、数据窃取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远程控制安全风险。涉及在线数据处理与交易处理、信息服务业务等电信业务的，应依法取得</w:t>
      </w:r>
      <w:r>
        <w:rPr>
          <w:rFonts w:ascii="Times New Roman" w:hAnsi="Times New Roman" w:eastAsia="仿宋_GB2312"/>
          <w:sz w:val="32"/>
          <w:szCs w:val="32"/>
          <w:highlight w:val="none"/>
        </w:rPr>
        <w:t>电信业务经营许可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。认定为关键信息基础设施的，要落实国家关于关键信息基础设施安全保护有关规定。</w:t>
      </w:r>
    </w:p>
    <w:p>
      <w:pPr>
        <w:pStyle w:val="2"/>
        <w:adjustRightInd w:val="0"/>
        <w:snapToGrid w:val="0"/>
        <w:spacing w:after="0" w:line="58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highlight w:val="none"/>
        </w:rPr>
        <w:t>（二）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highlight w:val="none"/>
          <w:lang w:eastAsia="zh-CN"/>
        </w:rPr>
        <w:t>加强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highlight w:val="none"/>
        </w:rPr>
        <w:t>O</w:t>
      </w:r>
      <w:r>
        <w:rPr>
          <w:rFonts w:ascii="Times New Roman" w:hAnsi="Times New Roman" w:eastAsia="楷体_GB2312" w:cs="楷体_GB2312"/>
          <w:b/>
          <w:bCs/>
          <w:sz w:val="32"/>
          <w:szCs w:val="32"/>
          <w:highlight w:val="none"/>
        </w:rPr>
        <w:t>TA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highlight w:val="none"/>
          <w:lang w:eastAsia="zh-CN"/>
        </w:rPr>
        <w:t>服务安全和漏洞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highlight w:val="none"/>
          <w:lang w:val="en-US" w:eastAsia="zh-CN"/>
        </w:rPr>
        <w:t>检测评估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highlight w:val="none"/>
        </w:rPr>
        <w:t>。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开展OTA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服务及软件包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网络安全检测，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及时发现服务和产品安全漏洞。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加强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O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TA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服务安全校验能力，采取身份认证、加密传输等技术措施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保障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传输环境和执行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环境的网络安全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。加强O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TA服务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全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过程网络安全监测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和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应急响应，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及时评估网络安全状况，防范软件被篡改、损毁、泄露和病毒感染等网络安全风险。</w:t>
      </w:r>
    </w:p>
    <w:p>
      <w:pPr>
        <w:pStyle w:val="2"/>
        <w:spacing w:after="0" w:line="58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highlight w:val="none"/>
          <w:lang w:eastAsia="zh-CN"/>
        </w:rPr>
        <w:t>三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highlight w:val="none"/>
        </w:rPr>
        <w:t>）强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highlight w:val="none"/>
          <w:lang w:eastAsia="zh-CN"/>
        </w:rPr>
        <w:t>化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highlight w:val="none"/>
        </w:rPr>
        <w:t>应用程序安全管理。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建立车联网（智能网联汽车）应用程序开发、上线、使用、升级等安全管理制度，提升应用程序身份鉴别、通信安全、关键数据保护等安全能力。加强车联网（智能网联汽车）应用程序安全检测，及时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处置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安全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风险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，防范恶意应用程序攻击和传播。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黑体" w:cs="黑体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</w:rPr>
        <w:t>、保障数据安全</w:t>
      </w:r>
    </w:p>
    <w:p>
      <w:pPr>
        <w:pStyle w:val="2"/>
        <w:spacing w:line="58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>（一）加强数据安全管理。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建立健全</w:t>
      </w:r>
      <w:r>
        <w:rPr>
          <w:rFonts w:hint="eastAsia" w:ascii="Times New Roman" w:hAnsi="Times New Roman" w:eastAsia="仿宋_GB2312"/>
          <w:sz w:val="32"/>
          <w:szCs w:val="32"/>
        </w:rPr>
        <w:t>数据安全管理制度，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建立完善权限管理、监测预警、应急响应、投诉受理等保障措施，</w:t>
      </w:r>
      <w:r>
        <w:rPr>
          <w:rFonts w:hint="eastAsia" w:ascii="Times New Roman" w:hAnsi="Times New Roman" w:eastAsia="仿宋_GB2312"/>
          <w:sz w:val="32"/>
          <w:szCs w:val="32"/>
        </w:rPr>
        <w:t>明确责任部门和责任人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，加强人员教育培训。</w:t>
      </w:r>
      <w:r>
        <w:rPr>
          <w:rFonts w:hint="eastAsia" w:ascii="Times New Roman" w:hAnsi="Times New Roman" w:eastAsia="仿宋_GB2312"/>
          <w:sz w:val="32"/>
          <w:szCs w:val="32"/>
        </w:rPr>
        <w:t>建立数据资产管理台账，实施数据分类分级管理，加强个人信息与重要数据保护。定期开展数据安全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风险</w:t>
      </w:r>
      <w:r>
        <w:rPr>
          <w:rFonts w:hint="eastAsia" w:ascii="Times New Roman" w:hAnsi="Times New Roman" w:eastAsia="仿宋_GB2312"/>
          <w:sz w:val="32"/>
          <w:szCs w:val="32"/>
        </w:rPr>
        <w:t>评估，强化隐患排查整改。</w:t>
      </w:r>
    </w:p>
    <w:p>
      <w:pPr>
        <w:pStyle w:val="2"/>
        <w:spacing w:line="58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>（二）提升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highlight w:val="none"/>
          <w:lang w:eastAsia="zh-CN"/>
        </w:rPr>
        <w:t>数据安全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>技术保障能力。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坚持“最小必要”原则采集数据，针对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数据全生命周期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采取有效技术保护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措施，防范数据泄露、毁损、丢失、篡改、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误用、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滥用等风险。强化数据安全监测预警能力建设，提升异</w:t>
      </w:r>
      <w:r>
        <w:rPr>
          <w:rFonts w:hint="eastAsia" w:ascii="Times New Roman" w:hAnsi="Times New Roman" w:eastAsia="仿宋_GB2312" w:cs="仿宋_GB2312"/>
          <w:sz w:val="32"/>
          <w:szCs w:val="32"/>
        </w:rPr>
        <w:t>常流动分析、违规跨境传输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监测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、安全事件追踪溯源等水平。及时处置数据安全事件，向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省级电信主管部门、工业和信息化主管部门</w:t>
      </w:r>
      <w:r>
        <w:rPr>
          <w:rFonts w:hint="eastAsia" w:ascii="Times New Roman" w:hAnsi="Times New Roman" w:eastAsia="仿宋_GB2312" w:cs="仿宋_GB2312"/>
          <w:sz w:val="32"/>
          <w:szCs w:val="32"/>
        </w:rPr>
        <w:t>报告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并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配合开展相关监督检查，提供必要技术支持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pStyle w:val="2"/>
        <w:spacing w:line="58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>（三）规范数据开发利用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lang w:eastAsia="zh-CN"/>
        </w:rPr>
        <w:t>和共享使用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合理</w:t>
      </w:r>
      <w:r>
        <w:rPr>
          <w:rFonts w:hint="eastAsia" w:ascii="Times New Roman" w:hAnsi="Times New Roman" w:eastAsia="仿宋_GB2312" w:cs="仿宋_GB2312"/>
          <w:sz w:val="32"/>
          <w:szCs w:val="32"/>
        </w:rPr>
        <w:t>开发利用</w:t>
      </w:r>
      <w:r>
        <w:rPr>
          <w:rFonts w:ascii="Times New Roman" w:hAnsi="Times New Roman" w:eastAsia="仿宋_GB2312" w:cs="仿宋_GB2312"/>
          <w:sz w:val="32"/>
          <w:szCs w:val="32"/>
        </w:rPr>
        <w:t>数据资源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防范在使用自动化决策技术处理数据时，侵犯用户隐私权和知情权。</w:t>
      </w:r>
      <w:r>
        <w:rPr>
          <w:rFonts w:hint="eastAsia" w:ascii="Times New Roman" w:hAnsi="Times New Roman" w:eastAsia="仿宋_GB2312"/>
          <w:sz w:val="32"/>
          <w:szCs w:val="32"/>
        </w:rPr>
        <w:t>明确数据共享和开发利用的安全管理和责任要求，对数据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合作</w:t>
      </w:r>
      <w:r>
        <w:rPr>
          <w:rFonts w:hint="eastAsia" w:ascii="Times New Roman" w:hAnsi="Times New Roman" w:eastAsia="仿宋_GB2312"/>
          <w:sz w:val="32"/>
          <w:szCs w:val="32"/>
        </w:rPr>
        <w:t>方的资质和能力进行审核评估，对数据共享使用情况进行监督管理。</w:t>
      </w:r>
    </w:p>
    <w:p>
      <w:pPr>
        <w:pStyle w:val="2"/>
        <w:spacing w:line="580" w:lineRule="exact"/>
        <w:ind w:firstLine="640" w:firstLineChars="200"/>
        <w:rPr>
          <w:rFonts w:hint="eastAsia" w:ascii="Times New Roman" w:hAnsi="Times New Roman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>（四）强化数据出境安全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lang w:eastAsia="zh-CN"/>
        </w:rPr>
        <w:t>管理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>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在中华人民共和国境内收集和产生的个人信息和重要数据应当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依法</w:t>
      </w:r>
      <w:r>
        <w:rPr>
          <w:rFonts w:hint="eastAsia" w:ascii="Times New Roman" w:hAnsi="Times New Roman" w:eastAsia="仿宋_GB2312" w:cs="仿宋_GB2312"/>
          <w:sz w:val="32"/>
          <w:szCs w:val="32"/>
        </w:rPr>
        <w:t>在境内存储。因业务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需要</w:t>
      </w:r>
      <w:r>
        <w:rPr>
          <w:rFonts w:hint="eastAsia" w:ascii="Times New Roman" w:hAnsi="Times New Roman" w:eastAsia="仿宋_GB2312" w:cs="仿宋_GB2312"/>
          <w:sz w:val="32"/>
          <w:szCs w:val="32"/>
        </w:rPr>
        <w:t>确需向境外提供数据的，应当</w:t>
      </w:r>
      <w:r>
        <w:rPr>
          <w:rFonts w:hint="default" w:ascii="Times New Roman" w:hAnsi="Times New Roman" w:eastAsia="仿宋_GB2312" w:cs="仿宋_GB2312"/>
          <w:sz w:val="32"/>
          <w:szCs w:val="32"/>
        </w:rPr>
        <w:t>通过数据出境安全评估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并</w:t>
      </w:r>
      <w:r>
        <w:rPr>
          <w:rFonts w:hint="eastAsia" w:ascii="Times New Roman" w:hAnsi="Times New Roman" w:eastAsia="仿宋_GB2312" w:cs="仿宋_GB2312"/>
          <w:sz w:val="32"/>
          <w:szCs w:val="32"/>
        </w:rPr>
        <w:t>向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省级电信、工业和信息化等有关主管部门</w:t>
      </w:r>
      <w:r>
        <w:rPr>
          <w:rFonts w:hint="eastAsia" w:ascii="Times New Roman" w:hAnsi="Times New Roman" w:eastAsia="仿宋_GB2312" w:cs="仿宋_GB2312"/>
          <w:sz w:val="32"/>
          <w:szCs w:val="32"/>
        </w:rPr>
        <w:t>报备。各省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级电信主管部门</w:t>
      </w:r>
      <w:r>
        <w:rPr>
          <w:rFonts w:hint="eastAsia" w:ascii="Times New Roman" w:hAnsi="Times New Roman" w:eastAsia="仿宋_GB2312" w:cs="仿宋_GB2312"/>
          <w:sz w:val="32"/>
          <w:szCs w:val="32"/>
        </w:rPr>
        <w:t>会同工业和信息化主管部门做好</w:t>
      </w:r>
      <w:r>
        <w:rPr>
          <w:rFonts w:hint="eastAsia" w:ascii="Times New Roman" w:hAnsi="Times New Roman" w:eastAsia="仿宋_GB2312"/>
          <w:sz w:val="32"/>
          <w:szCs w:val="32"/>
        </w:rPr>
        <w:t>数据出境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备案、</w:t>
      </w:r>
      <w:r>
        <w:rPr>
          <w:rFonts w:hint="eastAsia" w:ascii="Times New Roman" w:hAnsi="Times New Roman" w:eastAsia="仿宋_GB2312"/>
          <w:sz w:val="32"/>
          <w:szCs w:val="32"/>
        </w:rPr>
        <w:t>安全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评估</w:t>
      </w:r>
      <w:r>
        <w:rPr>
          <w:rFonts w:hint="default" w:ascii="Times New Roman" w:hAnsi="Times New Roman" w:eastAsia="仿宋_GB2312" w:cs="仿宋_GB2312"/>
          <w:sz w:val="32"/>
          <w:szCs w:val="32"/>
          <w:lang w:eastAsia="zh-CN"/>
        </w:rPr>
        <w:t>、监督检查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等</w:t>
      </w:r>
      <w:r>
        <w:rPr>
          <w:rFonts w:hint="eastAsia" w:ascii="Times New Roman" w:hAnsi="Times New Roman" w:eastAsia="仿宋_GB2312" w:cs="仿宋_GB2312"/>
          <w:sz w:val="32"/>
          <w:szCs w:val="32"/>
        </w:rPr>
        <w:t>工作。</w:t>
      </w:r>
    </w:p>
    <w:p>
      <w:pPr>
        <w:pStyle w:val="2"/>
        <w:spacing w:after="0" w:line="580" w:lineRule="exact"/>
        <w:ind w:firstLine="640" w:firstLineChars="200"/>
        <w:rPr>
          <w:rFonts w:ascii="Times New Roman" w:hAnsi="Times New Roman" w:eastAsia="黑体" w:cs="黑体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</w:rPr>
        <w:t>、强化安全漏洞管理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highlight w:val="none"/>
        </w:rPr>
        <w:t>（一）建立安全漏洞管理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highlight w:val="none"/>
          <w:lang w:eastAsia="zh-CN"/>
        </w:rPr>
        <w:t>机制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highlight w:val="none"/>
        </w:rPr>
        <w:t>。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落实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国家关于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网络产品安全漏洞管理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有关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规定，建立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车联网（智能网联汽车）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安全漏洞管理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机制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，明确漏洞发现、分析、修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补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等工作程序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，加强漏洞管理资源保障投入，确保漏洞得到及时修补和合理披露。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highlight w:val="none"/>
          <w:lang w:eastAsia="zh-CN"/>
        </w:rPr>
        <w:t>二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highlight w:val="none"/>
        </w:rPr>
        <w:t>）加强安全漏洞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highlight w:val="none"/>
          <w:lang w:eastAsia="zh-CN"/>
        </w:rPr>
        <w:t>发现收集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highlight w:val="none"/>
        </w:rPr>
        <w:t>。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加强漏洞风险的主动监测、风险评估、技术验证等能力建设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建立漏洞信息接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收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渠道并保持畅通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，主动收集用户、上下游供应商、网络安全企业、研究机构等发现的漏洞信息，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加强与漏洞收集平台的协同联动。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鼓励建立漏洞奖励机制。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highlight w:val="none"/>
          <w:lang w:eastAsia="zh-CN"/>
        </w:rPr>
        <w:t>三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highlight w:val="none"/>
        </w:rPr>
        <w:t>）强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highlight w:val="none"/>
          <w:lang w:eastAsia="zh-CN"/>
        </w:rPr>
        <w:t>化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highlight w:val="none"/>
        </w:rPr>
        <w:t>安全漏洞协同处置。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发现或获知本企业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网络设施和业务系统、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智能网联汽车产品存在漏洞后，应当立即采取补救措施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，并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向工业和信息化部网络安全威胁和漏洞信息共享平台报送漏洞信息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。加强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上下游产品或组件存在漏洞的协同处置。对需要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用户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采取软件、固件升级等措施修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补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漏洞的，应当及时将漏洞风险及修补方式告知可能受影响的用户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，并提供必要的技术支持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。</w:t>
      </w:r>
    </w:p>
    <w:p>
      <w:pPr>
        <w:pStyle w:val="2"/>
        <w:spacing w:line="580" w:lineRule="exact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</w:p>
    <w:p>
      <w:pPr>
        <w:pStyle w:val="2"/>
        <w:spacing w:line="580" w:lineRule="exact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</w:p>
    <w:p>
      <w:pPr>
        <w:pStyle w:val="2"/>
        <w:adjustRightInd w:val="0"/>
        <w:snapToGrid w:val="0"/>
        <w:spacing w:after="0" w:line="580" w:lineRule="exact"/>
        <w:ind w:right="420" w:rightChars="200"/>
        <w:jc w:val="right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</w:p>
    <w:p>
      <w:pPr>
        <w:pStyle w:val="2"/>
        <w:wordWrap w:val="0"/>
        <w:adjustRightInd w:val="0"/>
        <w:snapToGrid w:val="0"/>
        <w:spacing w:after="0" w:line="580" w:lineRule="exact"/>
        <w:ind w:right="0" w:rightChars="0"/>
        <w:jc w:val="right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工业和信息化部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 xml:space="preserve">    </w:t>
      </w:r>
    </w:p>
    <w:p>
      <w:pPr>
        <w:pStyle w:val="2"/>
        <w:wordWrap w:val="0"/>
        <w:adjustRightInd w:val="0"/>
        <w:snapToGrid w:val="0"/>
        <w:spacing w:after="0" w:line="580" w:lineRule="exact"/>
        <w:ind w:right="0" w:rightChars="0"/>
        <w:jc w:val="right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 xml:space="preserve">2021年  月  日    </w:t>
      </w:r>
    </w:p>
    <w:sectPr>
      <w:footerReference r:id="rId3" w:type="default"/>
      <w:pgSz w:w="11906" w:h="16838"/>
      <w:pgMar w:top="1440" w:right="1701" w:bottom="1440" w:left="1701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微软雅黑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Times New Roman" w:hAnsi="Times New Roman"/>
                              <w:sz w:val="21"/>
                              <w:szCs w:val="32"/>
                            </w:rPr>
                          </w:pPr>
                          <w:r>
                            <w:rPr>
                              <w:rFonts w:hint="eastAsia" w:ascii="Times New Roman" w:hAnsi="Times New Roman"/>
                              <w:sz w:val="21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Times New Roman" w:hAnsi="Times New Roman"/>
                              <w:sz w:val="21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/>
                              <w:sz w:val="21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Times New Roman" w:hAnsi="Times New Roman"/>
                              <w:sz w:val="21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Times New Roman" w:hAnsi="Times New Roman"/>
                              <w:sz w:val="21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Times New Roman" w:hAnsi="Times New Roman"/>
                        <w:sz w:val="21"/>
                        <w:szCs w:val="32"/>
                      </w:rPr>
                    </w:pPr>
                    <w:r>
                      <w:rPr>
                        <w:rFonts w:hint="eastAsia" w:ascii="Times New Roman" w:hAnsi="Times New Roman"/>
                        <w:sz w:val="21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Times New Roman" w:hAnsi="Times New Roman"/>
                        <w:sz w:val="21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/>
                        <w:sz w:val="21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Times New Roman" w:hAnsi="Times New Roman"/>
                        <w:sz w:val="21"/>
                        <w:szCs w:val="32"/>
                      </w:rPr>
                      <w:t>1</w:t>
                    </w:r>
                    <w:r>
                      <w:rPr>
                        <w:rFonts w:hint="eastAsia" w:ascii="Times New Roman" w:hAnsi="Times New Roman"/>
                        <w:sz w:val="21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DF6CCE"/>
    <w:rsid w:val="00026DC8"/>
    <w:rsid w:val="00043375"/>
    <w:rsid w:val="000438DF"/>
    <w:rsid w:val="00091D3C"/>
    <w:rsid w:val="00095524"/>
    <w:rsid w:val="000E29E5"/>
    <w:rsid w:val="000E7C1B"/>
    <w:rsid w:val="000F488C"/>
    <w:rsid w:val="00116619"/>
    <w:rsid w:val="0014776F"/>
    <w:rsid w:val="001734ED"/>
    <w:rsid w:val="00207E06"/>
    <w:rsid w:val="002654DC"/>
    <w:rsid w:val="00280B49"/>
    <w:rsid w:val="00314240"/>
    <w:rsid w:val="0039367E"/>
    <w:rsid w:val="003C19DB"/>
    <w:rsid w:val="004270D9"/>
    <w:rsid w:val="00442075"/>
    <w:rsid w:val="00451997"/>
    <w:rsid w:val="004C3694"/>
    <w:rsid w:val="005205C2"/>
    <w:rsid w:val="00537537"/>
    <w:rsid w:val="00561045"/>
    <w:rsid w:val="00577893"/>
    <w:rsid w:val="005801DE"/>
    <w:rsid w:val="005B026B"/>
    <w:rsid w:val="005B6813"/>
    <w:rsid w:val="005C563F"/>
    <w:rsid w:val="005F00C5"/>
    <w:rsid w:val="005F5B8C"/>
    <w:rsid w:val="00611DAF"/>
    <w:rsid w:val="00672E03"/>
    <w:rsid w:val="006E590B"/>
    <w:rsid w:val="006F2987"/>
    <w:rsid w:val="00702A00"/>
    <w:rsid w:val="007115FB"/>
    <w:rsid w:val="007311AD"/>
    <w:rsid w:val="0075083F"/>
    <w:rsid w:val="007516F9"/>
    <w:rsid w:val="00775559"/>
    <w:rsid w:val="007A745A"/>
    <w:rsid w:val="008010E7"/>
    <w:rsid w:val="00822F8C"/>
    <w:rsid w:val="008667E6"/>
    <w:rsid w:val="008746BF"/>
    <w:rsid w:val="00893FE2"/>
    <w:rsid w:val="008A16F5"/>
    <w:rsid w:val="008A7031"/>
    <w:rsid w:val="0093252E"/>
    <w:rsid w:val="00957247"/>
    <w:rsid w:val="009B3193"/>
    <w:rsid w:val="009C0EF9"/>
    <w:rsid w:val="009D326F"/>
    <w:rsid w:val="009D4D43"/>
    <w:rsid w:val="009E274F"/>
    <w:rsid w:val="00A46EC5"/>
    <w:rsid w:val="00A55AA8"/>
    <w:rsid w:val="00AC5070"/>
    <w:rsid w:val="00AE4B5F"/>
    <w:rsid w:val="00AF0E91"/>
    <w:rsid w:val="00AF6373"/>
    <w:rsid w:val="00B465AA"/>
    <w:rsid w:val="00BB3332"/>
    <w:rsid w:val="00BC0A9E"/>
    <w:rsid w:val="00BC2FD6"/>
    <w:rsid w:val="00BC6C42"/>
    <w:rsid w:val="00BE2033"/>
    <w:rsid w:val="00C10CC9"/>
    <w:rsid w:val="00C24490"/>
    <w:rsid w:val="00C32BB2"/>
    <w:rsid w:val="00D35192"/>
    <w:rsid w:val="00D724AD"/>
    <w:rsid w:val="00DB0648"/>
    <w:rsid w:val="00DE5BB8"/>
    <w:rsid w:val="00E0065D"/>
    <w:rsid w:val="00E17D06"/>
    <w:rsid w:val="00E2750C"/>
    <w:rsid w:val="00E4443C"/>
    <w:rsid w:val="00E8575C"/>
    <w:rsid w:val="00EB6202"/>
    <w:rsid w:val="00EB63E5"/>
    <w:rsid w:val="00EC0377"/>
    <w:rsid w:val="00ED405F"/>
    <w:rsid w:val="00F110CD"/>
    <w:rsid w:val="00F215F4"/>
    <w:rsid w:val="00F45BAB"/>
    <w:rsid w:val="00F46D18"/>
    <w:rsid w:val="00F477FB"/>
    <w:rsid w:val="00F645E6"/>
    <w:rsid w:val="00FC4384"/>
    <w:rsid w:val="00FD1336"/>
    <w:rsid w:val="00FF2D6E"/>
    <w:rsid w:val="25F901E3"/>
    <w:rsid w:val="27A31C9D"/>
    <w:rsid w:val="347F08C1"/>
    <w:rsid w:val="35615E05"/>
    <w:rsid w:val="38F5661C"/>
    <w:rsid w:val="3B646055"/>
    <w:rsid w:val="3E96C572"/>
    <w:rsid w:val="3F3E9B62"/>
    <w:rsid w:val="3FBE03AE"/>
    <w:rsid w:val="3FCFA7CC"/>
    <w:rsid w:val="44F6624B"/>
    <w:rsid w:val="47F790F1"/>
    <w:rsid w:val="47FD5A67"/>
    <w:rsid w:val="490A1E3B"/>
    <w:rsid w:val="4D335781"/>
    <w:rsid w:val="557E8216"/>
    <w:rsid w:val="5CC71F2A"/>
    <w:rsid w:val="6FD78977"/>
    <w:rsid w:val="75CAD43F"/>
    <w:rsid w:val="768F1F23"/>
    <w:rsid w:val="7B5D132C"/>
    <w:rsid w:val="7DFFDC15"/>
    <w:rsid w:val="7F9DC8D1"/>
    <w:rsid w:val="7FEA75D6"/>
    <w:rsid w:val="9FED261F"/>
    <w:rsid w:val="AF3CD6A2"/>
    <w:rsid w:val="AFF71EEF"/>
    <w:rsid w:val="BFD4FF78"/>
    <w:rsid w:val="BFFE911D"/>
    <w:rsid w:val="C3272254"/>
    <w:rsid w:val="DFFF6D27"/>
    <w:rsid w:val="F7DE9D3A"/>
    <w:rsid w:val="FBB74A49"/>
    <w:rsid w:val="FBBACBAA"/>
    <w:rsid w:val="FEFB10E3"/>
    <w:rsid w:val="FF9F2196"/>
    <w:rsid w:val="FFDF6CCE"/>
    <w:rsid w:val="FFF009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customStyle="1" w:styleId="7">
    <w:name w:val="实施方案正文"/>
    <w:basedOn w:val="1"/>
    <w:link w:val="8"/>
    <w:qFormat/>
    <w:uiPriority w:val="0"/>
    <w:pPr>
      <w:spacing w:line="360" w:lineRule="auto"/>
      <w:ind w:firstLine="200" w:firstLineChars="200"/>
    </w:pPr>
    <w:rPr>
      <w:rFonts w:ascii="Times New Roman" w:hAnsi="Times New Roman" w:eastAsia="仿宋_GB2312"/>
      <w:kern w:val="0"/>
      <w:sz w:val="28"/>
      <w:szCs w:val="32"/>
    </w:rPr>
  </w:style>
  <w:style w:type="character" w:customStyle="1" w:styleId="8">
    <w:name w:val="实施方案正文 Char"/>
    <w:link w:val="7"/>
    <w:qFormat/>
    <w:locked/>
    <w:uiPriority w:val="0"/>
    <w:rPr>
      <w:rFonts w:eastAsia="仿宋_GB2312"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620</Words>
  <Characters>3537</Characters>
  <Lines>29</Lines>
  <Paragraphs>8</Paragraphs>
  <TotalTime>11</TotalTime>
  <ScaleCrop>false</ScaleCrop>
  <LinksUpToDate>false</LinksUpToDate>
  <CharactersWithSpaces>4149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2021-06-06T01:13:00Z</dcterms:created>
  <dc:creator>赵爽</dc:creator>
  <cp:lastModifiedBy>八月</cp:lastModifiedBy>
  <cp:lastPrinted>2021-06-23T10:48:34Z</cp:lastPrinted>
  <dcterms:modified xsi:type="dcterms:W3CDTF">2021-06-24T01:46:10Z</dcterms:modified>
  <dc:title>附件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ICV">
    <vt:lpwstr>BCE1319D9ADF41F39240D1098DF983F3</vt:lpwstr>
  </property>
</Properties>
</file>